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MDG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MIDDLEGATE SECURITIES, LTD</w:t>
        <w:cr/>
        <w:t>8 WEST 40TH STREET</w:t>
        <w:cr/>
        <w:t>NEW YORK, NY 10018</w:t>
        <w:cr/>
        <w:t/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March 31, 2017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14.42%</w:t>
        <w:br/>
        <w:t xml:space="preserve">  Limit orders as percentage of total limit orders</w:t>
        <w:tab/>
        <w:tab/>
        <w:tab/>
        <w:tab/>
        <w:t xml:space="preserve">  84.81%</w:t>
        <w:br/>
        <w:t xml:space="preserve">  Other orders as percentage of total other orders</w:t>
        <w:tab/>
        <w:tab/>
        <w:tab/>
        <w:tab/>
        <w:t xml:space="preserve">    0.77%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28.97%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21.06%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19.87%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17.56%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6.30%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2.80%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1.89%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0.56%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Middlegate Securities Ltd.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0.07%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54.85%</w:t>
        <w:cr/>
        <w:tab/>
        <w:t xml:space="preserve">  Limit orders as percentage of total limit orders</w:t>
        <w:tab/>
        <w:tab/>
        <w:tab/>
        <w:t xml:space="preserve">  24.75%</w:t>
        <w:cr/>
        <w:tab/>
        <w:t xml:space="preserve">  Other orders as percentage of total other orders</w:t>
        <w:tab/>
        <w:tab/>
        <w:tab/>
        <w:t xml:space="preserve">    9.09%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24.83%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28.16%</w:t>
        <w:cr/>
        <w:tab/>
        <w:t xml:space="preserve">  Limit orders as percentage of total limit orders</w:t>
        <w:tab/>
        <w:tab/>
        <w:tab/>
        <w:t xml:space="preserve">  17.82%</w:t>
        <w:cr/>
        <w:tab/>
        <w:t xml:space="preserve">  Other orders as percentage of total other orders</w:t>
        <w:tab/>
        <w:tab/>
        <w:tab/>
        <w:t xml:space="preserve">  90.91%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20.71%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4.85%</w:t>
        <w:cr/>
        <w:tab/>
        <w:t xml:space="preserve">  Limit orders as percentage of total limit orders</w:t>
        <w:tab/>
        <w:tab/>
        <w:tab/>
        <w:t xml:space="preserve">    6.60%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5.34%</w:t>
        <w:cr/>
        <w:tab/>
        <w:t xml:space="preserve">  Limit orders as percentage of total limit orders</w:t>
        <w:tab/>
        <w:tab/>
        <w:tab/>
        <w:t xml:space="preserve">    2.39%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1.94%</w:t>
        <w:cr/>
        <w:tab/>
        <w:t xml:space="preserve">  Limit orders as percentage of total limit orders</w:t>
        <w:tab/>
        <w:tab/>
        <w:tab/>
        <w:t xml:space="preserve">    1.90%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1.46%</w:t>
        <w:cr/>
        <w:tab/>
        <w:t xml:space="preserve">  Limit orders as percentage of total limit orders</w:t>
        <w:tab/>
        <w:tab/>
        <w:tab/>
        <w:t xml:space="preserve">    0.58%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2.43%</w:t>
        <w:cr/>
        <w:tab/>
        <w:t xml:space="preserve">  Limit orders as percentage of total limit orders</w:t>
        <w:tab/>
        <w:tab/>
        <w:tab/>
        <w:t xml:space="preserve">    0.25%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Middlegate Securities Ltd.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0.49%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28.02%</w:t>
        <w:br/>
        <w:t xml:space="preserve">  Limit orders as percentage of total limit orders</w:t>
        <w:tab/>
        <w:tab/>
        <w:tab/>
        <w:tab/>
        <w:t xml:space="preserve">  61.15%</w:t>
        <w:br/>
        <w:t xml:space="preserve">  Other orders as percentage of total other orders</w:t>
        <w:tab/>
        <w:tab/>
        <w:tab/>
        <w:tab/>
        <w:t xml:space="preserve">  10.83%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40.03%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28.57%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9.11%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8.48%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Middlegate Securities Ltd.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3.30%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2.59%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0.86%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0.63%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0.39%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42.58%</w:t>
        <w:cr/>
        <w:tab/>
        <w:t xml:space="preserve">  Limit orders as percentage of total limit orders</w:t>
        <w:tab/>
        <w:tab/>
        <w:tab/>
        <w:t xml:space="preserve">  30.42%</w:t>
        <w:cr/>
        <w:tab/>
        <w:t xml:space="preserve">  Other orders as percentage of total other orders</w:t>
        <w:tab/>
        <w:tab/>
        <w:tab/>
        <w:t xml:space="preserve">  87.68%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35.85%</w:t>
        <w:cr/>
        <w:tab/>
        <w:t xml:space="preserve">  Limit orders as percentage of total limit orders</w:t>
        <w:tab/>
        <w:tab/>
        <w:tab/>
        <w:t xml:space="preserve">  28.63%</w:t>
        <w:cr/>
        <w:tab/>
        <w:t xml:space="preserve">  Other orders as percentage of total other orders</w:t>
        <w:tab/>
        <w:tab/>
        <w:tab/>
        <w:t xml:space="preserve">    9.42%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14.89%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13.86%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4.20%</w:t>
        <w:cr/>
        <w:tab/>
        <w:t xml:space="preserve">  Limit orders as percentage of total limit orders</w:t>
        <w:tab/>
        <w:tab/>
        <w:tab/>
        <w:t xml:space="preserve">    7.19%</w:t>
        <w:cr/>
        <w:tab/>
        <w:t xml:space="preserve">  Other orders as percentage of total other orders</w:t>
        <w:tab/>
        <w:tab/>
        <w:tab/>
        <w:t xml:space="preserve">    2.17%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Middlegate Securities Ltd.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11.76%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2.52%</w:t>
        <w:cr/>
        <w:tab/>
        <w:t xml:space="preserve">  Limit orders as percentage of total limit orders</w:t>
        <w:tab/>
        <w:tab/>
        <w:tab/>
        <w:t xml:space="preserve">    3.08%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1.40%</w:t>
        <w:cr/>
        <w:tab/>
        <w:t xml:space="preserve">  Limit orders as percentage of total limit orders</w:t>
        <w:tab/>
        <w:tab/>
        <w:tab/>
        <w:t xml:space="preserve">    0.64%</w:t>
        <w:cr/>
        <w:tab/>
        <w:t xml:space="preserve">  Other orders as percentage of total other orders</w:t>
        <w:tab/>
        <w:tab/>
        <w:tab/>
        <w:t xml:space="preserve">    0.72%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1.40%</w:t>
        <w:cr/>
        <w:tab/>
        <w:t xml:space="preserve">  Limit orders as percentage of total limit orders</w:t>
        <w:tab/>
        <w:tab/>
        <w:tab/>
        <w:t xml:space="preserve">    0.39%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0.64%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MKT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38.11%</w:t>
        <w:br/>
        <w:t xml:space="preserve">  Limit orders as percentage of total limit orders</w:t>
        <w:tab/>
        <w:tab/>
        <w:tab/>
        <w:tab/>
        <w:t xml:space="preserve">  48.21%</w:t>
        <w:br/>
        <w:t xml:space="preserve">  Other orders as percentage of total other orders</w:t>
        <w:tab/>
        <w:tab/>
        <w:tab/>
        <w:tab/>
        <w:t xml:space="preserve">  13.68%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34.74%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28.00%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8.84%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Middlegate Securities Ltd.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8.84%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6.53%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3.79%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3.58%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1.68%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NYSE MKT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1.47%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1.26%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28.18%</w:t>
        <w:cr/>
        <w:tab/>
        <w:t xml:space="preserve">  Limit orders as percentage of total limit orders</w:t>
        <w:tab/>
        <w:tab/>
        <w:tab/>
        <w:t xml:space="preserve">  24.02%</w:t>
        <w:cr/>
        <w:tab/>
        <w:t xml:space="preserve">  Other orders as percentage of total other orders</w:t>
        <w:tab/>
        <w:tab/>
        <w:tab/>
        <w:t xml:space="preserve">  90.77%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38.67%</w:t>
        <w:cr/>
        <w:tab/>
        <w:t xml:space="preserve">  Limit orders as percentage of total limit orders</w:t>
        <w:tab/>
        <w:tab/>
        <w:tab/>
        <w:t xml:space="preserve">  26.64%</w:t>
        <w:cr/>
        <w:tab/>
        <w:t xml:space="preserve">  Other orders as percentage of total other orders</w:t>
        <w:tab/>
        <w:tab/>
        <w:tab/>
        <w:t xml:space="preserve">    3.08%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18.34%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Middlegate Securities Ltd.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23.20%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13.54%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7.18%</w:t>
        <w:cr/>
        <w:tab/>
        <w:t xml:space="preserve">  Limit orders as percentage of total limit orders</w:t>
        <w:tab/>
        <w:tab/>
        <w:tab/>
        <w:t xml:space="preserve">    2.18%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0.55%</w:t>
        <w:cr/>
        <w:tab/>
        <w:t xml:space="preserve">  Limit orders as percentage of total limit orders</w:t>
        <w:tab/>
        <w:tab/>
        <w:tab/>
        <w:t xml:space="preserve">    6.99%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1.10%</w:t>
        <w:cr/>
        <w:tab/>
        <w:t xml:space="preserve">  Limit orders as percentage of total limit orders</w:t>
        <w:tab/>
        <w:tab/>
        <w:tab/>
        <w:t xml:space="preserve">    0.87%</w:t>
        <w:cr/>
        <w:tab/>
        <w:t xml:space="preserve">  Other orders as percentage of total other orders</w:t>
        <w:tab/>
        <w:tab/>
        <w:tab/>
        <w:t xml:space="preserve">    6.15%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NYSE MKT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3.06%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1.10%</w:t>
        <w:cr/>
        <w:tab/>
        <w:t xml:space="preserve">  Limit orders as percentage of total limit orders</w:t>
        <w:tab/>
        <w:tab/>
        <w:tab/>
        <w:t xml:space="preserve">    1.75%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26.13%</w:t>
        <w:br/>
        <w:t xml:space="preserve">  Limit orders as percentage of total limit orders</w:t>
        <w:tab/>
        <w:tab/>
        <w:tab/>
        <w:tab/>
        <w:t xml:space="preserve">  73.87%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NASDAQ Options Market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32.67%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ISE Gemini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12.16%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The Chicago Board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9.98%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BOX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9.62%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NASDAQ PHLX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9.26%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The MIAX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7.44%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International Securities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BZX Options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4.72%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C2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2.18%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NYSE Amex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2.00%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NASDAQ Options Market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9.03%</w:t>
        <w:cr/>
        <w:tab/>
        <w:t xml:space="preserve">  Limit orders as percentage of total limit orders</w:t>
        <w:tab/>
        <w:tab/>
        <w:tab/>
        <w:t xml:space="preserve">  41.03%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ISE Gemini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4.86%</w:t>
        <w:cr/>
        <w:tab/>
        <w:t xml:space="preserve">  Limit orders as percentage of total limit orders</w:t>
        <w:tab/>
        <w:tab/>
        <w:tab/>
        <w:t xml:space="preserve">  14.74%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The Chicago Board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15.97%</w:t>
        <w:cr/>
        <w:tab/>
        <w:t xml:space="preserve">  Limit orders as percentage of total limit orders</w:t>
        <w:tab/>
        <w:tab/>
        <w:tab/>
        <w:t xml:space="preserve">    7.86%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BOX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9.72%</w:t>
        <w:cr/>
        <w:tab/>
        <w:t xml:space="preserve">  Limit orders as percentage of total limit orders</w:t>
        <w:tab/>
        <w:tab/>
        <w:tab/>
        <w:t xml:space="preserve">    9.58%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NASDAQ PHLX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9.72%</w:t>
        <w:cr/>
        <w:tab/>
        <w:t xml:space="preserve">  Limit orders as percentage of total limit orders</w:t>
        <w:tab/>
        <w:tab/>
        <w:tab/>
        <w:t xml:space="preserve">    9.09%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The MIAX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14.58%</w:t>
        <w:cr/>
        <w:tab/>
        <w:t xml:space="preserve">  Limit orders as percentage of total limit orders</w:t>
        <w:tab/>
        <w:tab/>
        <w:tab/>
        <w:t xml:space="preserve">    4.91%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International Securities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20.83%</w:t>
        <w:cr/>
        <w:tab/>
        <w:t xml:space="preserve">  Limit orders as percentage of total limit orders</w:t>
        <w:tab/>
        <w:tab/>
        <w:tab/>
        <w:t xml:space="preserve">    0.49%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BZX Options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4.17%</w:t>
        <w:cr/>
        <w:tab/>
        <w:t xml:space="preserve">  Limit orders as percentage of total limit orders</w:t>
        <w:tab/>
        <w:tab/>
        <w:tab/>
        <w:t xml:space="preserve">    4.91%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C2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2.08%</w:t>
        <w:cr/>
        <w:tab/>
        <w:t xml:space="preserve">  Limit orders as percentage of total limit orders</w:t>
        <w:tab/>
        <w:tab/>
        <w:tab/>
        <w:t xml:space="preserve">    2.21%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NYSE Amex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3.47%</w:t>
        <w:cr/>
        <w:tab/>
        <w:t xml:space="preserve">  Limit orders as percentage of total limit orders</w:t>
        <w:tab/>
        <w:tab/>
        <w:tab/>
        <w:t xml:space="preserve">    1.47%</w:t>
        <w:cr/>
        <w:tab/>
        <w:t xml:space="preserve">  Other orders as percentage of total other orders</w:t>
        <w:tab/>
        <w:tab/>
        <w:tab/>
        <w:t xml:space="preserve">    0.00%</w:t>
      </w:r>
    </w:p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8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2017-04-12T15:20:49Z</dcterms:created>
  <dc:creator>Apache POI</dc:creator>
</cp:coreProperties>
</file>